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orpsdetexte"/>
        <w:rPr>
          <w:rFonts w:ascii="Times New Roman"/>
        </w:rPr>
      </w:pPr>
    </w:p>
    <w:p>
      <w:pPr>
        <w:pStyle w:val="Corpsdetexte"/>
        <w:spacing w:before="2"/>
        <w:rPr>
          <w:rFonts w:ascii="Times New Roman"/>
          <w:sz w:val="24"/>
        </w:rPr>
      </w:pPr>
    </w:p>
    <w:p>
      <w:pPr>
        <w:spacing w:line="242" w:lineRule="auto"/>
        <w:ind w:left="8883" w:right="416" w:firstLine="609"/>
        <w:jc w:val="right"/>
        <w:rPr>
          <w:rFonts w:ascii="Marianne Medium"/>
        </w:rPr>
      </w:pPr>
      <w:r>
        <w:rPr>
          <w:noProof/>
        </w:rPr>
        <w:drawing>
          <wp:anchor distT="0" distB="0" distL="0" distR="0" simplePos="0" relativeHeight="15729664" behindDoc="0" locked="0" layoutInCell="1" allowOverlap="1">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pPr>
        <w:pStyle w:val="Corpsdetexte"/>
        <w:rPr>
          <w:rFonts w:ascii="Marianne Medium"/>
        </w:rPr>
      </w:pPr>
    </w:p>
    <w:p>
      <w:pPr>
        <w:pStyle w:val="Corpsdetexte"/>
        <w:rPr>
          <w:rFonts w:ascii="Marianne Medium"/>
        </w:rPr>
      </w:pPr>
    </w:p>
    <w:p>
      <w:pPr>
        <w:pStyle w:val="Corpsdetexte"/>
        <w:rPr>
          <w:rFonts w:ascii="Marianne Medium"/>
        </w:rPr>
      </w:pPr>
    </w:p>
    <w:p>
      <w:pPr>
        <w:pStyle w:val="Corpsdetexte"/>
        <w:rPr>
          <w:rFonts w:ascii="Marianne Medium"/>
        </w:rPr>
      </w:pPr>
    </w:p>
    <w:p>
      <w:pPr>
        <w:pStyle w:val="Corpsdetexte"/>
        <w:rPr>
          <w:rFonts w:ascii="Marianne Medium"/>
        </w:rPr>
      </w:pPr>
    </w:p>
    <w:p>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trPr>
          <w:trHeight w:val="914"/>
        </w:trPr>
        <w:tc>
          <w:tcPr>
            <w:tcW w:w="7973" w:type="dxa"/>
            <w:shd w:val="clear" w:color="auto" w:fill="3557A1"/>
          </w:tcPr>
          <w:p>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pPr>
              <w:pStyle w:val="TableParagraph"/>
              <w:spacing w:line="277" w:lineRule="exact"/>
              <w:ind w:left="1521"/>
              <w:rPr>
                <w:b/>
                <w:sz w:val="20"/>
              </w:rPr>
            </w:pPr>
            <w:r>
              <w:rPr>
                <w:b/>
                <w:color w:val="FFFFFF"/>
                <w:spacing w:val="-5"/>
                <w:sz w:val="20"/>
              </w:rPr>
              <w:t>DC4</w:t>
            </w:r>
          </w:p>
        </w:tc>
      </w:tr>
    </w:tbl>
    <w:p>
      <w:pPr>
        <w:pStyle w:val="Corpsdetexte"/>
        <w:spacing w:before="8"/>
        <w:rPr>
          <w:rFonts w:ascii="Marianne Medium"/>
          <w:sz w:val="22"/>
        </w:rPr>
      </w:pPr>
    </w:p>
    <w:p>
      <w:pPr>
        <w:spacing w:before="100"/>
        <w:ind w:left="332" w:right="708" w:hanging="1"/>
        <w:jc w:val="both"/>
        <w:rPr>
          <w:b/>
          <w:sz w:val="18"/>
        </w:rPr>
      </w:pPr>
      <w:r>
        <w:rPr>
          <w:b/>
          <w:sz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pPr>
        <w:pStyle w:val="Corpsdetexte"/>
        <w:rPr>
          <w:b/>
          <w:sz w:val="18"/>
        </w:rPr>
      </w:pPr>
    </w:p>
    <w:p>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pPr>
        <w:pStyle w:val="Corpsdetexte"/>
        <w:spacing w:before="6"/>
        <w:rPr>
          <w:b/>
          <w:sz w:val="29"/>
        </w:rPr>
      </w:pPr>
    </w:p>
    <w:p>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pPr>
        <w:pStyle w:val="Corpsdetexte"/>
        <w:spacing w:before="13"/>
        <w:rPr>
          <w:b/>
          <w:sz w:val="19"/>
        </w:rPr>
      </w:pPr>
    </w:p>
    <w:p>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pPr>
        <w:ind w:left="332" w:right="761" w:hanging="1"/>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pPr>
        <w:pStyle w:val="Corpsdetexte"/>
        <w:rPr>
          <w:i/>
          <w:sz w:val="24"/>
        </w:rPr>
      </w:pPr>
    </w:p>
    <w:p>
      <w:pPr>
        <w:pStyle w:val="Corpsdetexte"/>
        <w:spacing w:before="1"/>
        <w:rPr>
          <w:i/>
          <w:sz w:val="16"/>
        </w:rPr>
      </w:pPr>
    </w:p>
    <w:p>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(nantissements ou cessions de créances) : </w:t>
      </w:r>
      <w:r>
        <w:rPr>
          <w:i/>
          <w:sz w:val="18"/>
        </w:rPr>
        <w:t>(Indiquer l’identité de la personne, ses adresses postale et électronique, ses numéros de téléphone et de télécopie)</w:t>
      </w:r>
    </w:p>
    <w:p>
      <w:pPr>
        <w:pStyle w:val="Corpsdetexte"/>
        <w:rPr>
          <w:i/>
        </w:rPr>
      </w:pPr>
    </w:p>
    <w:p>
      <w:pPr>
        <w:pStyle w:val="Corpsdetexte"/>
        <w:rPr>
          <w:i/>
        </w:rPr>
      </w:pPr>
    </w:p>
    <w:p>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pPr>
        <w:spacing w:before="119"/>
        <w:ind w:left="331" w:right="706"/>
        <w:jc w:val="both"/>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xml:space="preserve">; dans tous les cas, l’indication du numéro de référence attribué au dossier par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pPr>
        <w:pStyle w:val="Corpsdetexte"/>
        <w:rPr>
          <w:i/>
        </w:rPr>
      </w:pPr>
    </w:p>
    <w:p>
      <w:pPr>
        <w:pStyle w:val="Corpsdetexte"/>
        <w:rPr>
          <w:i/>
        </w:rPr>
      </w:pPr>
    </w:p>
    <w:p>
      <w:pPr>
        <w:pStyle w:val="Corpsdetexte"/>
        <w:rPr>
          <w:i/>
        </w:rPr>
      </w:pPr>
    </w:p>
    <w:p>
      <w:pPr>
        <w:pStyle w:val="Corpsdetexte"/>
        <w:rPr>
          <w:i/>
        </w:rPr>
      </w:pPr>
    </w:p>
    <w:p>
      <w:pPr>
        <w:pStyle w:val="Corpsdetexte"/>
        <w:rPr>
          <w:i/>
        </w:rPr>
      </w:pPr>
    </w:p>
    <w:p>
      <w:pPr>
        <w:pStyle w:val="Corpsdetexte"/>
        <w:spacing w:before="5"/>
        <w:rPr>
          <w:i/>
          <w:sz w:val="24"/>
        </w:rPr>
      </w:pPr>
      <w:r>
        <w:rPr>
          <w:noProof/>
        </w:rPr>
        <mc:AlternateContent>
          <mc:Choice Requires="wps">
            <w:drawing>
              <wp:anchor distT="0" distB="0" distL="0" distR="0" simplePos="0" relativeHeight="487587840" behindDoc="1" locked="0" layoutInCell="1" allowOverlap="1">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" fillcolor="#3557a1" stroked="f">
                <v:textbox inset="0,0,0,0">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pPr>
        <w:rPr>
          <w:rFonts w:ascii="Arial"/>
          <w:sz w:val="13"/>
        </w:rPr>
        <w:sectPr>
          <w:footerReference w:type="default" r:id="rId22"/>
          <w:type w:val="continuous"/>
          <w:pgSz w:w="11910" w:h="16850"/>
          <w:pgMar w:top="380" w:right="140" w:bottom="860" w:left="520" w:header="0" w:footer="677" w:gutter="0"/>
          <w:pgNumType w:start="1"/>
          <w:cols w:space="720"/>
        </w:sectPr>
      </w:pPr>
    </w:p>
    <w:p>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pPr>
        <w:pStyle w:val="Corpsdetexte"/>
        <w:rPr>
          <w:b/>
        </w:rPr>
      </w:pPr>
    </w:p>
    <w:p>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pPr>
        <w:pStyle w:val="Corpsdetexte"/>
        <w:spacing w:before="121"/>
        <w:ind w:left="1229"/>
      </w:pPr>
      <w:r>
        <w:rPr>
          <w:noProof/>
        </w:rPr>
        <mc:AlternateContent>
          <mc:Choice Requires="wps">
            <w:drawing>
              <wp:anchor distT="0" distB="0" distL="0" distR="0" simplePos="0" relativeHeight="15730176" behindDoc="0" locked="0" layoutInCell="1" allowOverlap="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pPr>
        <w:pStyle w:val="Corpsdetexte"/>
      </w:pPr>
    </w:p>
    <w:p>
      <w:pPr>
        <w:spacing w:before="240"/>
        <w:ind w:left="898" w:firstLine="331"/>
        <w:rPr>
          <w:i/>
          <w:sz w:val="18"/>
        </w:rPr>
      </w:pPr>
      <w:r>
        <w:rPr>
          <w:noProof/>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pPr>
        <w:pStyle w:val="Corpsdetexte"/>
        <w:rPr>
          <w:i/>
        </w:rPr>
      </w:pPr>
    </w:p>
    <w:p>
      <w:pPr>
        <w:pStyle w:val="Corpsdetexte"/>
        <w:spacing w:before="240"/>
        <w:ind w:left="1229"/>
      </w:pPr>
      <w:r>
        <w:rPr>
          <w:noProof/>
        </w:rPr>
        <mc:AlternateContent>
          <mc:Choice Requires="wps">
            <w:drawing>
              <wp:anchor distT="0" distB="0" distL="0" distR="0" simplePos="0" relativeHeight="15731200" behindDoc="0" locked="0" layoutInCell="1" allowOverlap="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pPr>
        <w:pStyle w:val="Corpsdetexte"/>
        <w:spacing w:before="4"/>
        <w:rPr>
          <w:sz w:val="21"/>
        </w:rPr>
      </w:pPr>
    </w:p>
    <w:p>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pPr>
        <w:spacing w:before="241"/>
        <w:ind w:left="331" w:right="706"/>
        <w:jc w:val="both"/>
        <w:rPr>
          <w:sz w:val="20"/>
        </w:rPr>
      </w:pPr>
      <w:r>
        <w:rPr>
          <w:b/>
          <w:sz w:val="20"/>
        </w:rPr>
        <w:t>Nom commercial et dénomination sociale de l’unité ou de l’établissement qui exécutera la prestation, adresses postales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répertoire figurant dans la liste des ICD</w:t>
      </w:r>
      <w:r>
        <w:rPr>
          <w:b/>
          <w:color w:val="0000FF"/>
          <w:sz w:val="20"/>
        </w:rPr>
        <w:t xml:space="preserve"> </w:t>
      </w:r>
      <w:r>
        <w:rPr>
          <w:sz w:val="20"/>
        </w:rPr>
        <w:t>:</w:t>
      </w:r>
    </w:p>
    <w:p>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pPr>
        <w:pStyle w:val="Corpsdetexte"/>
        <w:rPr>
          <w:b/>
          <w:sz w:val="28"/>
        </w:rPr>
      </w:pPr>
    </w:p>
    <w:p>
      <w:pPr>
        <w:pStyle w:val="Corpsdetexte"/>
        <w:rPr>
          <w:b/>
          <w:sz w:val="28"/>
        </w:rPr>
      </w:pPr>
    </w:p>
    <w:p>
      <w:pPr>
        <w:pStyle w:val="Corpsdetexte"/>
        <w:spacing w:before="10"/>
        <w:rPr>
          <w:b/>
          <w:sz w:val="25"/>
        </w:rPr>
      </w:pPr>
    </w:p>
    <w:p>
      <w:pPr>
        <w:ind w:left="331"/>
        <w:jc w:val="both"/>
        <w:rPr>
          <w:b/>
          <w:sz w:val="20"/>
        </w:rPr>
      </w:pPr>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pPr>
        <w:pStyle w:val="Corpsdetexte"/>
        <w:spacing w:before="8"/>
        <w:rPr>
          <w:b/>
          <w:sz w:val="41"/>
        </w:rPr>
      </w:pPr>
    </w:p>
    <w:p>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pPr>
        <w:pStyle w:val="Corpsdetexte"/>
        <w:spacing w:before="1"/>
        <w:rPr>
          <w:b/>
          <w:sz w:val="38"/>
        </w:rPr>
      </w:pPr>
    </w:p>
    <w:p>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pPr>
        <w:pStyle w:val="Corpsdetexte"/>
        <w:spacing w:before="9"/>
        <w:rPr>
          <w:b/>
          <w:sz w:val="41"/>
        </w:rPr>
      </w:pPr>
    </w:p>
    <w:p>
      <w:pPr>
        <w:ind w:left="331" w:right="707"/>
        <w:jc w:val="both"/>
        <w:rPr>
          <w:b/>
          <w:sz w:val="20"/>
        </w:rPr>
      </w:pPr>
      <w:r>
        <w:rPr>
          <w:b/>
          <w:sz w:val="20"/>
        </w:rPr>
        <w:t>Numéro SIRET, à défaut, un numéro d’identification européen ou international ou propre au pays d’origine de l’opérateur économique issu d’un répertoire figurant dans la liste des ICD</w:t>
      </w:r>
      <w:r>
        <w:rPr>
          <w:b/>
          <w:color w:val="0000FF"/>
          <w:sz w:val="20"/>
        </w:rPr>
        <w:t xml:space="preserve"> </w:t>
      </w:r>
      <w:r>
        <w:rPr>
          <w:b/>
          <w:sz w:val="20"/>
        </w:rPr>
        <w:t>:</w:t>
      </w:r>
    </w:p>
    <w:p>
      <w:pPr>
        <w:pStyle w:val="Corpsdetexte"/>
        <w:rPr>
          <w:b/>
        </w:rPr>
      </w:pPr>
    </w:p>
    <w:p>
      <w:pPr>
        <w:pStyle w:val="Corpsdetexte"/>
        <w:spacing w:before="2"/>
        <w:rPr>
          <w:b/>
          <w:sz w:val="17"/>
        </w:rPr>
      </w:pPr>
    </w:p>
    <w:p>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pPr>
        <w:pStyle w:val="Corpsdetexte"/>
        <w:spacing w:before="1"/>
        <w:rPr>
          <w:b/>
          <w:sz w:val="40"/>
        </w:rPr>
      </w:pPr>
    </w:p>
    <w:p>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pPr>
        <w:rPr>
          <w:sz w:val="20"/>
        </w:rPr>
        <w:sectPr>
          <w:footerReference w:type="default" r:id="rId23"/>
          <w:pgSz w:w="11910" w:h="16850"/>
          <w:pgMar w:top="1440" w:right="140" w:bottom="1220" w:left="520" w:header="0" w:footer="1036" w:gutter="0"/>
          <w:pgNumType w:start="2"/>
          <w:cols w:space="720"/>
        </w:sectPr>
      </w:pPr>
    </w:p>
    <w:p>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pPr>
        <w:pStyle w:val="Corpsdetexte"/>
        <w:spacing w:before="4"/>
        <w:rPr>
          <w:b/>
          <w:sz w:val="37"/>
        </w:rPr>
      </w:pPr>
    </w:p>
    <w:p>
      <w:pPr>
        <w:ind w:left="331" w:right="708"/>
        <w:jc w:val="both"/>
        <w:rPr>
          <w:b/>
          <w:sz w:val="20"/>
        </w:rPr>
      </w:pPr>
      <w:r>
        <w:rPr>
          <w:b/>
          <w:sz w:val="20"/>
        </w:rPr>
        <w:t xml:space="preserve">Nom commercial et dénomination sociale de l’unité ou de l’établissement qui exécutera la prestation, </w:t>
      </w:r>
      <w:proofErr w:type="gramStart"/>
      <w:r>
        <w:rPr>
          <w:b/>
          <w:sz w:val="20"/>
        </w:rPr>
        <w:t>adresses postale</w:t>
      </w:r>
      <w:proofErr w:type="gramEnd"/>
      <w:r>
        <w:rPr>
          <w:b/>
          <w:sz w:val="20"/>
        </w:rPr>
        <w:t xml:space="preserv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répertoire figurant dans la liste des ICD</w:t>
      </w:r>
      <w:r>
        <w:rPr>
          <w:b/>
          <w:color w:val="0000FF"/>
          <w:sz w:val="20"/>
        </w:rPr>
        <w:t xml:space="preserve"> </w:t>
      </w:r>
      <w:r>
        <w:rPr>
          <w:b/>
          <w:sz w:val="20"/>
        </w:rPr>
        <w:t>:</w:t>
      </w:r>
    </w:p>
    <w:p>
      <w:pPr>
        <w:pStyle w:val="Corpsdetexte"/>
        <w:rPr>
          <w:b/>
        </w:rPr>
      </w:pPr>
    </w:p>
    <w:p>
      <w:pPr>
        <w:pStyle w:val="Corpsdetexte"/>
        <w:spacing w:before="8"/>
        <w:rPr>
          <w:b/>
          <w:sz w:val="14"/>
        </w:rPr>
      </w:pPr>
    </w:p>
    <w:p>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pPr>
        <w:pStyle w:val="Corpsdetexte"/>
        <w:spacing w:before="8"/>
        <w:rPr>
          <w:b/>
          <w:sz w:val="41"/>
        </w:rPr>
      </w:pPr>
    </w:p>
    <w:p>
      <w:pPr>
        <w:ind w:left="331"/>
        <w:rPr>
          <w:b/>
          <w:sz w:val="20"/>
        </w:rPr>
      </w:pPr>
      <w:bookmarkStart w:id="2" w:name="Adresses_postale_et_du_siège_social_(s"/>
      <w:bookmarkEnd w:id="2"/>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pPr>
        <w:pStyle w:val="Corpsdetexte"/>
        <w:spacing w:before="8"/>
        <w:rPr>
          <w:b/>
          <w:sz w:val="41"/>
        </w:rPr>
      </w:pPr>
    </w:p>
    <w:p>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pPr>
        <w:pStyle w:val="Corpsdetexte"/>
        <w:rPr>
          <w:b/>
          <w:sz w:val="28"/>
        </w:rPr>
      </w:pPr>
    </w:p>
    <w:p>
      <w:pPr>
        <w:pStyle w:val="Corpsdetexte"/>
        <w:spacing w:before="7"/>
        <w:rPr>
          <w:b/>
          <w:sz w:val="26"/>
        </w:rPr>
      </w:pPr>
    </w:p>
    <w:p>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pPr>
        <w:pStyle w:val="Corpsdetexte"/>
        <w:rPr>
          <w:b/>
          <w:sz w:val="28"/>
        </w:rPr>
      </w:pPr>
    </w:p>
    <w:p>
      <w:pPr>
        <w:pStyle w:val="Corpsdetexte"/>
        <w:spacing w:before="7"/>
        <w:rPr>
          <w:b/>
          <w:sz w:val="26"/>
        </w:rPr>
      </w:pPr>
    </w:p>
    <w:p>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pays d’origine de l’opérateur économique issu d’un répertoire figurant dans la liste des ICD</w:t>
      </w:r>
      <w:r>
        <w:rPr>
          <w:b/>
          <w:color w:val="0000FF"/>
          <w:sz w:val="20"/>
        </w:rPr>
        <w:t xml:space="preserve"> </w:t>
      </w:r>
      <w:r>
        <w:rPr>
          <w:b/>
          <w:sz w:val="20"/>
        </w:rPr>
        <w:t>:</w:t>
      </w:r>
    </w:p>
    <w:p>
      <w:pPr>
        <w:pStyle w:val="Corpsdetexte"/>
        <w:rPr>
          <w:b/>
        </w:rPr>
      </w:pPr>
    </w:p>
    <w:p>
      <w:pPr>
        <w:pStyle w:val="Corpsdetexte"/>
        <w:spacing w:before="5"/>
        <w:rPr>
          <w:b/>
          <w:sz w:val="17"/>
        </w:rPr>
      </w:pPr>
    </w:p>
    <w:p>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pPr>
        <w:pStyle w:val="Corpsdetexte"/>
        <w:spacing w:before="12"/>
        <w:rPr>
          <w:sz w:val="39"/>
        </w:rPr>
      </w:pPr>
    </w:p>
    <w:p>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pPr>
        <w:pStyle w:val="Corpsdetexte"/>
        <w:rPr>
          <w:i/>
          <w:sz w:val="24"/>
        </w:rPr>
      </w:pPr>
    </w:p>
    <w:p>
      <w:pPr>
        <w:pStyle w:val="Corpsdetexte"/>
        <w:rPr>
          <w:i/>
          <w:sz w:val="30"/>
        </w:rPr>
      </w:pPr>
    </w:p>
    <w:p>
      <w:pPr>
        <w:pStyle w:val="Corpsdetexte"/>
        <w:spacing w:before="1"/>
        <w:ind w:left="332" w:right="707"/>
        <w:jc w:val="both"/>
      </w:pPr>
      <w:r>
        <w:rPr>
          <w:b/>
        </w:rPr>
        <w:t xml:space="preserve">Le sous-traitant est-il une micro, une petite ou une moyenne entreprise </w:t>
      </w:r>
      <w:r>
        <w:t xml:space="preserve">au sens de la </w:t>
      </w:r>
      <w:hyperlink r:id="rId24">
        <w:r>
          <w:rPr>
            <w:color w:val="0000FF"/>
            <w:u w:val="single" w:color="0000FF"/>
          </w:rPr>
          <w:t>recommandation</w:t>
        </w:r>
      </w:hyperlink>
      <w:r>
        <w:rPr>
          <w:color w:val="0000FF"/>
          <w:spacing w:val="80"/>
        </w:rPr>
        <w:t xml:space="preserve"> </w:t>
      </w:r>
      <w:hyperlink r:id="rId25">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26">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27">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28">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pPr>
        <w:pStyle w:val="Corpsdetexte"/>
        <w:spacing w:before="12"/>
        <w:rPr>
          <w:sz w:val="12"/>
        </w:rPr>
      </w:pPr>
    </w:p>
    <w:p>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pPr>
        <w:sectPr>
          <w:pgSz w:w="11910" w:h="16850"/>
          <w:pgMar w:top="1440" w:right="140" w:bottom="1220" w:left="520" w:header="0" w:footer="1036" w:gutter="0"/>
          <w:cols w:space="720"/>
        </w:sectPr>
      </w:pPr>
    </w:p>
    <w:p>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29">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pPr>
        <w:pStyle w:val="Corpsdetexte"/>
        <w:spacing w:before="11"/>
        <w:rPr>
          <w:sz w:val="12"/>
        </w:rPr>
      </w:pPr>
    </w:p>
    <w:p>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pPr>
        <w:pStyle w:val="Corpsdetexte"/>
      </w:pPr>
    </w:p>
    <w:p>
      <w:pPr>
        <w:pStyle w:val="Corpsdetexte"/>
        <w:spacing w:before="13"/>
        <w:rPr>
          <w:sz w:val="19"/>
        </w:rPr>
      </w:pPr>
    </w:p>
    <w:p>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pPr>
        <w:pStyle w:val="Corpsdetexte"/>
        <w:rPr>
          <w:i/>
        </w:rPr>
      </w:pPr>
    </w:p>
    <w:p>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pPr>
        <w:pStyle w:val="Corpsdetexte"/>
        <w:spacing w:before="1"/>
        <w:rPr>
          <w:sz w:val="40"/>
        </w:rPr>
      </w:pPr>
    </w:p>
    <w:p>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pPr>
        <w:pStyle w:val="Corpsdetexte"/>
        <w:spacing w:before="13"/>
        <w:rPr>
          <w:sz w:val="19"/>
        </w:rPr>
      </w:pPr>
    </w:p>
    <w:p>
      <w:pPr>
        <w:ind w:left="331"/>
        <w:rPr>
          <w:sz w:val="20"/>
        </w:rPr>
      </w:pPr>
      <w:r>
        <w:rPr>
          <w:b/>
          <w:sz w:val="20"/>
        </w:rPr>
        <w:t xml:space="preserve">Le sous-traitant est autorisé à traiter les données à caractère personnel nécessaires pour fournir le ou les service(s) suivant(s) </w:t>
      </w:r>
      <w:r>
        <w:rPr>
          <w:sz w:val="20"/>
        </w:rPr>
        <w:t>: ……………</w:t>
      </w:r>
    </w:p>
    <w:p>
      <w:pPr>
        <w:pStyle w:val="Corpsdetexte"/>
        <w:spacing w:before="12"/>
        <w:rPr>
          <w:sz w:val="19"/>
        </w:rPr>
      </w:pPr>
    </w:p>
    <w:p>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pPr>
        <w:pStyle w:val="Corpsdetexte"/>
        <w:rPr>
          <w:sz w:val="40"/>
        </w:rPr>
      </w:pPr>
    </w:p>
    <w:p>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pPr>
        <w:pStyle w:val="Corpsdetexte"/>
        <w:rPr>
          <w:sz w:val="28"/>
        </w:rPr>
      </w:pPr>
    </w:p>
    <w:p>
      <w:pPr>
        <w:pStyle w:val="Corpsdetexte"/>
        <w:rPr>
          <w:sz w:val="28"/>
        </w:rPr>
      </w:pPr>
    </w:p>
    <w:p>
      <w:pPr>
        <w:pStyle w:val="Corpsdetexte"/>
        <w:spacing w:before="1"/>
        <w:rPr>
          <w:sz w:val="24"/>
        </w:rPr>
      </w:pPr>
    </w:p>
    <w:p>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pPr>
        <w:pStyle w:val="Corpsdetexte"/>
      </w:pPr>
    </w:p>
    <w:p>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pPr>
        <w:pStyle w:val="Corpsdetexte"/>
        <w:ind w:left="898" w:right="580" w:firstLine="331"/>
      </w:pPr>
      <w:r>
        <w:rPr>
          <w:noProof/>
        </w:rPr>
        <mc:AlternateContent>
          <mc:Choice Requires="wps">
            <w:drawing>
              <wp:anchor distT="0" distB="0" distL="0" distR="0" simplePos="0" relativeHeight="15733760" behindDoc="0" locked="0" layoutInCell="1" allowOverlap="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présente des garanties suffisantes pour la mise en œuvre de mesures techniques et organisationnelles propres à assurer la protection des données personnelles ;</w:t>
      </w:r>
    </w:p>
    <w:p>
      <w:pPr>
        <w:pStyle w:val="Corpsdetexte"/>
        <w:spacing w:before="12"/>
        <w:rPr>
          <w:sz w:val="12"/>
        </w:rPr>
      </w:pPr>
    </w:p>
    <w:p>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0"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1"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pPr>
        <w:pStyle w:val="Corpsdetexte"/>
        <w:spacing w:before="13"/>
        <w:rPr>
          <w:sz w:val="39"/>
        </w:rPr>
      </w:pPr>
    </w:p>
    <w:p>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pPr>
        <w:rPr>
          <w:sz w:val="20"/>
        </w:rPr>
        <w:sectPr>
          <w:pgSz w:w="11910" w:h="16850"/>
          <w:pgMar w:top="1160" w:right="140" w:bottom="1220" w:left="520" w:header="0" w:footer="1036" w:gutter="0"/>
          <w:cols w:space="720"/>
        </w:sectPr>
      </w:pPr>
    </w:p>
    <w:p>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pPr>
        <w:pStyle w:val="Corpsdetexte"/>
        <w:rPr>
          <w:b/>
        </w:rPr>
      </w:pPr>
    </w:p>
    <w:p>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pPr>
        <w:pStyle w:val="Corpsdetexte"/>
        <w:spacing w:before="1"/>
        <w:rPr>
          <w:sz w:val="40"/>
        </w:rPr>
      </w:pPr>
    </w:p>
    <w:p>
      <w:pPr>
        <w:pStyle w:val="Corpsdetexte"/>
        <w:ind w:left="331" w:right="708"/>
        <w:jc w:val="both"/>
      </w:pPr>
      <w:r>
        <w:t>Dans le 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pPr>
        <w:pStyle w:val="Corpsdetexte"/>
        <w:spacing w:before="10"/>
        <w:rPr>
          <w:sz w:val="19"/>
        </w:rPr>
      </w:pPr>
    </w:p>
    <w:p>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pPr>
        <w:pStyle w:val="Corpsdetexte"/>
        <w:spacing w:before="8"/>
        <w:rPr>
          <w:sz w:val="28"/>
        </w:rPr>
      </w:pPr>
    </w:p>
    <w:p>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2">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3">
        <w:r>
          <w:rPr>
            <w:color w:val="0000FF"/>
            <w:position w:val="2"/>
            <w:sz w:val="20"/>
            <w:u w:val="single" w:color="0000FF"/>
          </w:rPr>
          <w:t>l’article 283 du code général des impôts</w:t>
        </w:r>
      </w:hyperlink>
      <w:r>
        <w:rPr>
          <w:color w:val="0000FF"/>
          <w:position w:val="2"/>
          <w:sz w:val="20"/>
        </w:rPr>
        <w:t xml:space="preserve"> </w:t>
      </w:r>
      <w:r>
        <w:rPr>
          <w:sz w:val="20"/>
        </w:rPr>
        <w:t>:</w:t>
      </w:r>
    </w:p>
    <w:p>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proofErr w:type="spellStart"/>
      <w:r>
        <w:rPr>
          <w:spacing w:val="-10"/>
          <w:sz w:val="20"/>
        </w:rPr>
        <w:t>auto-liquidation</w:t>
      </w:r>
      <w:proofErr w:type="spellEnd"/>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pPr>
        <w:pStyle w:val="Corpsdetexte"/>
        <w:spacing w:before="11"/>
        <w:rPr>
          <w:sz w:val="28"/>
        </w:rPr>
      </w:pPr>
    </w:p>
    <w:p>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1"/>
        <w:rPr>
          <w:sz w:val="28"/>
        </w:rPr>
      </w:pPr>
    </w:p>
    <w:p>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4">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5">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pPr>
        <w:pStyle w:val="Corpsdetexte"/>
        <w:spacing w:before="12"/>
        <w:rPr>
          <w:i/>
          <w:sz w:val="12"/>
        </w:rPr>
      </w:pPr>
    </w:p>
    <w:p>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pPr>
        <w:pStyle w:val="Corpsdetexte"/>
      </w:pPr>
    </w:p>
    <w:p>
      <w:pPr>
        <w:pStyle w:val="Corpsdetexte"/>
        <w:spacing w:before="2"/>
      </w:pPr>
    </w:p>
    <w:p>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pPr>
        <w:pStyle w:val="Corpsdetexte"/>
        <w:spacing w:before="13"/>
        <w:rPr>
          <w:b/>
          <w:sz w:val="19"/>
        </w:rPr>
      </w:pPr>
    </w:p>
    <w:p>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pPr>
        <w:pStyle w:val="Corpsdetexte"/>
        <w:rPr>
          <w:i/>
          <w:sz w:val="24"/>
        </w:rPr>
      </w:pPr>
    </w:p>
    <w:p>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pPr>
        <w:spacing w:line="720" w:lineRule="auto"/>
        <w:rPr>
          <w:sz w:val="20"/>
        </w:rPr>
        <w:sectPr>
          <w:pgSz w:w="11910" w:h="16850"/>
          <w:pgMar w:top="1440" w:right="140" w:bottom="1220" w:left="520" w:header="0" w:footer="1036" w:gutter="0"/>
          <w:cols w:space="720"/>
        </w:sectPr>
      </w:pPr>
    </w:p>
    <w:p>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pPr>
        <w:pStyle w:val="Corpsdetexte"/>
        <w:spacing w:before="13"/>
        <w:rPr>
          <w:i/>
          <w:sz w:val="17"/>
        </w:rPr>
      </w:pPr>
    </w:p>
    <w:p>
      <w:pPr>
        <w:pStyle w:val="Corpsdetexte"/>
        <w:tabs>
          <w:tab w:val="left" w:pos="2931"/>
        </w:tabs>
        <w:ind w:left="1798"/>
      </w:pPr>
      <w:r>
        <w:rPr>
          <w:noProof/>
        </w:rPr>
        <mc:AlternateContent>
          <mc:Choice Requires="wps">
            <w:drawing>
              <wp:anchor distT="0" distB="0" distL="0" distR="0" simplePos="0" relativeHeight="15735808" behindDoc="0" locked="0" layoutInCell="1" allowOverlap="1">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pPr>
        <w:pStyle w:val="Corpsdetexte"/>
        <w:spacing w:before="1"/>
      </w:pPr>
    </w:p>
    <w:p>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pPr>
        <w:pStyle w:val="Corpsdetexte"/>
        <w:rPr>
          <w:b/>
        </w:rPr>
      </w:pPr>
    </w:p>
    <w:p>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pPr>
        <w:pStyle w:val="Corpsdetexte"/>
      </w:pPr>
    </w:p>
    <w:p>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pPr>
        <w:pStyle w:val="Corpsdetexte"/>
        <w:spacing w:before="10"/>
        <w:rPr>
          <w:sz w:val="28"/>
        </w:rPr>
      </w:pPr>
    </w:p>
    <w:p>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pPr>
        <w:pStyle w:val="Corpsdetexte"/>
        <w:rPr>
          <w:b/>
        </w:rPr>
      </w:pPr>
    </w:p>
    <w:p>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pPr>
        <w:pStyle w:val="Corpsdetexte"/>
        <w:spacing w:before="13"/>
        <w:rPr>
          <w:sz w:val="19"/>
        </w:rPr>
      </w:pPr>
    </w:p>
    <w:p>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pPr>
        <w:pStyle w:val="Paragraphedeliste"/>
        <w:numPr>
          <w:ilvl w:val="1"/>
          <w:numId w:val="3"/>
        </w:numPr>
        <w:tabs>
          <w:tab w:val="left" w:pos="1258"/>
        </w:tabs>
        <w:spacing w:line="276" w:lineRule="exact"/>
        <w:ind w:left="1258"/>
        <w:rPr>
          <w:sz w:val="20"/>
        </w:rPr>
      </w:pPr>
      <w:r>
        <w:rPr>
          <w:spacing w:val="-6"/>
          <w:sz w:val="20"/>
        </w:rPr>
        <w:t>……………………………………………………………………………………</w:t>
      </w:r>
    </w:p>
    <w:p>
      <w:pPr>
        <w:pStyle w:val="Paragraphedeliste"/>
        <w:numPr>
          <w:ilvl w:val="1"/>
          <w:numId w:val="3"/>
        </w:numPr>
        <w:tabs>
          <w:tab w:val="left" w:pos="1258"/>
        </w:tabs>
        <w:spacing w:before="1" w:line="277" w:lineRule="exact"/>
        <w:ind w:left="1258"/>
        <w:rPr>
          <w:sz w:val="20"/>
        </w:rPr>
      </w:pPr>
      <w:r>
        <w:rPr>
          <w:spacing w:val="-6"/>
          <w:sz w:val="20"/>
        </w:rPr>
        <w:t>……………………………………………………………………………………</w:t>
      </w:r>
    </w:p>
    <w:p>
      <w:pPr>
        <w:pStyle w:val="Paragraphedeliste"/>
        <w:numPr>
          <w:ilvl w:val="1"/>
          <w:numId w:val="3"/>
        </w:numPr>
        <w:tabs>
          <w:tab w:val="left" w:pos="1259"/>
        </w:tabs>
        <w:spacing w:line="277" w:lineRule="exact"/>
        <w:ind w:left="1259"/>
        <w:rPr>
          <w:sz w:val="20"/>
        </w:rPr>
      </w:pPr>
      <w:r>
        <w:rPr>
          <w:spacing w:val="-6"/>
          <w:sz w:val="20"/>
        </w:rPr>
        <w:t>……………………………………………………………………………………</w:t>
      </w:r>
    </w:p>
    <w:p>
      <w:pPr>
        <w:pStyle w:val="Paragraphedeliste"/>
        <w:numPr>
          <w:ilvl w:val="1"/>
          <w:numId w:val="3"/>
        </w:numPr>
        <w:tabs>
          <w:tab w:val="left" w:pos="1259"/>
        </w:tabs>
        <w:spacing w:before="1" w:line="277" w:lineRule="exact"/>
        <w:ind w:left="1259"/>
        <w:rPr>
          <w:sz w:val="20"/>
        </w:rPr>
      </w:pPr>
      <w:r>
        <w:rPr>
          <w:spacing w:val="-6"/>
          <w:sz w:val="20"/>
        </w:rPr>
        <w:t>……………………………………………………………………………………</w:t>
      </w:r>
    </w:p>
    <w:p>
      <w:pPr>
        <w:pStyle w:val="Paragraphedeliste"/>
        <w:numPr>
          <w:ilvl w:val="1"/>
          <w:numId w:val="3"/>
        </w:numPr>
        <w:tabs>
          <w:tab w:val="left" w:pos="1259"/>
        </w:tabs>
        <w:spacing w:line="277" w:lineRule="exact"/>
        <w:ind w:left="1259"/>
        <w:rPr>
          <w:sz w:val="20"/>
        </w:rPr>
      </w:pPr>
      <w:r>
        <w:rPr>
          <w:spacing w:val="-6"/>
          <w:sz w:val="20"/>
        </w:rPr>
        <w:t>……………………………………………………………………………………</w:t>
      </w:r>
    </w:p>
    <w:p>
      <w:pPr>
        <w:pStyle w:val="Corpsdetexte"/>
        <w:rPr>
          <w:sz w:val="28"/>
        </w:rPr>
      </w:pPr>
    </w:p>
    <w:p>
      <w:pPr>
        <w:pStyle w:val="Corpsdetexte"/>
        <w:rPr>
          <w:sz w:val="28"/>
        </w:rPr>
      </w:pPr>
    </w:p>
    <w:p>
      <w:pPr>
        <w:pStyle w:val="Corpsdetexte"/>
        <w:spacing w:before="3"/>
        <w:rPr>
          <w:sz w:val="24"/>
        </w:rPr>
      </w:pPr>
    </w:p>
    <w:p>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36">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pPr>
        <w:pStyle w:val="Corpsdetexte"/>
        <w:spacing w:before="12"/>
        <w:rPr>
          <w:sz w:val="39"/>
        </w:rPr>
      </w:pPr>
    </w:p>
    <w:p>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pPr>
        <w:pStyle w:val="Corpsdetexte"/>
        <w:spacing w:before="1"/>
        <w:rPr>
          <w:b/>
          <w:sz w:val="40"/>
        </w:rPr>
      </w:pPr>
    </w:p>
    <w:p>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pPr>
        <w:jc w:val="both"/>
        <w:rPr>
          <w:sz w:val="20"/>
        </w:rPr>
        <w:sectPr>
          <w:pgSz w:w="11910" w:h="16850"/>
          <w:pgMar w:top="1160" w:right="140" w:bottom="1220" w:left="520" w:header="0" w:footer="1036" w:gutter="0"/>
          <w:cols w:space="720"/>
        </w:sectPr>
      </w:pPr>
    </w:p>
    <w:p>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pPr>
        <w:pStyle w:val="Corpsdetexte"/>
        <w:spacing w:before="12"/>
        <w:rPr>
          <w:b/>
          <w:sz w:val="19"/>
        </w:rPr>
      </w:pPr>
    </w:p>
    <w:p>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37">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38">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39">
        <w:r>
          <w:rPr>
            <w:color w:val="0000FF"/>
            <w:sz w:val="20"/>
            <w:u w:val="single" w:color="0000FF"/>
          </w:rPr>
          <w:t>10</w:t>
        </w:r>
      </w:hyperlink>
      <w:r>
        <w:rPr>
          <w:color w:val="0000FF"/>
          <w:sz w:val="20"/>
        </w:rPr>
        <w:t xml:space="preserve"> </w:t>
      </w:r>
      <w:r>
        <w:rPr>
          <w:sz w:val="20"/>
        </w:rPr>
        <w:t>du code de la commande publique (**) ;</w:t>
      </w:r>
    </w:p>
    <w:p>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0">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pPr>
        <w:pStyle w:val="Corpsdetexte"/>
        <w:spacing w:before="7"/>
        <w:rPr>
          <w:sz w:val="31"/>
        </w:rPr>
      </w:pPr>
    </w:p>
    <w:p>
      <w:pPr>
        <w:pStyle w:val="Corpsdetexte"/>
        <w:ind w:left="692"/>
      </w:pPr>
      <w:r>
        <w:rPr>
          <w:noProof/>
        </w:rPr>
        <mc:AlternateContent>
          <mc:Choice Requires="wps">
            <w:drawing>
              <wp:anchor distT="0" distB="0" distL="0" distR="0" simplePos="0" relativeHeight="487596032" behindDoc="1" locked="0" layoutInCell="1" allowOverlap="1">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pPr>
        <w:pStyle w:val="Corpsdetexte"/>
        <w:spacing w:before="12"/>
        <w:rPr>
          <w:sz w:val="13"/>
        </w:rPr>
      </w:pPr>
    </w:p>
    <w:p>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2">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3">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4">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5">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pPr>
        <w:pStyle w:val="Corpsdetexte"/>
        <w:spacing w:before="13"/>
        <w:rPr>
          <w:i/>
          <w:sz w:val="17"/>
        </w:rPr>
      </w:pPr>
    </w:p>
    <w:p>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pPr>
        <w:pStyle w:val="Corpsdetexte"/>
        <w:rPr>
          <w:i/>
          <w:sz w:val="18"/>
        </w:rPr>
      </w:pPr>
    </w:p>
    <w:p>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46">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47">
        <w:r>
          <w:rPr>
            <w:color w:val="0000FF"/>
            <w:sz w:val="18"/>
            <w:u w:val="single" w:color="0000FF"/>
          </w:rPr>
          <w:t>ou de l’article R. 2343-15</w:t>
        </w:r>
      </w:hyperlink>
      <w:r>
        <w:rPr>
          <w:color w:val="0000FF"/>
          <w:sz w:val="18"/>
        </w:rPr>
        <w:t xml:space="preserve"> </w:t>
      </w:r>
      <w:r>
        <w:rPr>
          <w:sz w:val="18"/>
        </w:rPr>
        <w:t xml:space="preserve">du code de la commande publique) </w:t>
      </w:r>
      <w:r>
        <w:t>:</w:t>
      </w:r>
    </w:p>
    <w:p>
      <w:pPr>
        <w:pStyle w:val="Corpsdetexte"/>
        <w:rPr>
          <w:sz w:val="13"/>
        </w:rPr>
      </w:pPr>
    </w:p>
    <w:p>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pPr>
        <w:pStyle w:val="Corpsdetexte"/>
        <w:spacing w:before="2"/>
        <w:rPr>
          <w:i/>
        </w:rPr>
      </w:pPr>
    </w:p>
    <w:p>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pPr>
        <w:pStyle w:val="Corpsdetexte"/>
        <w:spacing w:before="13"/>
        <w:rPr>
          <w:b/>
          <w:sz w:val="19"/>
        </w:rPr>
      </w:pPr>
    </w:p>
    <w:p>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pPr>
        <w:pStyle w:val="Corpsdetexte"/>
        <w:spacing w:before="12"/>
        <w:rPr>
          <w:b/>
          <w:sz w:val="19"/>
        </w:rPr>
      </w:pPr>
    </w:p>
    <w:p>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pPr>
        <w:pStyle w:val="Corpsdetexte"/>
        <w:spacing w:before="5"/>
        <w:rPr>
          <w:i/>
          <w:sz w:val="17"/>
        </w:rPr>
      </w:pPr>
    </w:p>
    <w:p>
      <w:pPr>
        <w:tabs>
          <w:tab w:val="left" w:pos="2076"/>
        </w:tabs>
        <w:ind w:left="332"/>
        <w:rPr>
          <w:sz w:val="20"/>
        </w:rPr>
      </w:pPr>
      <w:r>
        <w:rPr>
          <w:noProof/>
        </w:rPr>
        <mc:AlternateContent>
          <mc:Choice Requires="wps">
            <w:drawing>
              <wp:anchor distT="0" distB="0" distL="0" distR="0" simplePos="0" relativeHeight="487356928" behindDoc="1" locked="0" layoutInCell="1" allowOverlap="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48">
        <w:r>
          <w:rPr>
            <w:color w:val="0000FF"/>
            <w:u w:val="single" w:color="0000FF"/>
          </w:rPr>
          <w:t>article R. 2193-22</w:t>
        </w:r>
      </w:hyperlink>
      <w:r>
        <w:rPr>
          <w:color w:val="0000FF"/>
        </w:rPr>
        <w:t xml:space="preserve"> </w:t>
      </w:r>
      <w:r>
        <w:t>ou à l</w:t>
      </w:r>
      <w:hyperlink r:id="rId49">
        <w:r>
          <w:t>’</w:t>
        </w:r>
        <w:r>
          <w:rPr>
            <w:color w:val="0000FF"/>
            <w:u w:val="single" w:color="0000FF"/>
          </w:rPr>
          <w:t>article R. 2393-40</w:t>
        </w:r>
      </w:hyperlink>
      <w:r>
        <w:rPr>
          <w:color w:val="0000FF"/>
        </w:rPr>
        <w:t xml:space="preserve"> </w:t>
      </w:r>
      <w:r>
        <w:t>du code de la commande publique.</w:t>
      </w:r>
    </w:p>
    <w:p>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pPr>
        <w:pStyle w:val="Corpsdetexte"/>
        <w:spacing w:before="121"/>
        <w:ind w:left="1795"/>
      </w:pPr>
      <w:r>
        <w:rPr>
          <w:noProof/>
        </w:rPr>
        <mc:AlternateContent>
          <mc:Choice Requires="wps">
            <w:drawing>
              <wp:anchor distT="0" distB="0" distL="0" distR="0" simplePos="0" relativeHeight="15737856"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pPr>
        <w:pStyle w:val="Corpsdetexte"/>
        <w:spacing w:before="1"/>
        <w:ind w:left="898"/>
      </w:pPr>
      <w:proofErr w:type="gramStart"/>
      <w:r>
        <w:rPr>
          <w:spacing w:val="-5"/>
          <w:u w:val="single"/>
        </w:rPr>
        <w:t>OU</w:t>
      </w:r>
      <w:proofErr w:type="gramEnd"/>
    </w:p>
    <w:p>
      <w:pPr>
        <w:pStyle w:val="Corpsdetexte"/>
        <w:spacing w:before="119"/>
        <w:ind w:left="1464" w:firstLine="331"/>
      </w:pPr>
      <w:r>
        <w:rPr>
          <w:noProof/>
        </w:rPr>
        <mc:AlternateContent>
          <mc:Choice Requires="wps">
            <w:drawing>
              <wp:anchor distT="0" distB="0" distL="0" distR="0" simplePos="0" relativeHeight="15738368" behindDoc="0" locked="0" layoutInCell="1" allowOverlap="1">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pPr>
        <w:sectPr>
          <w:pgSz w:w="11910" w:h="16850"/>
          <w:pgMar w:top="1440" w:right="140" w:bottom="1220" w:left="520" w:header="0" w:footer="1036" w:gutter="0"/>
          <w:cols w:space="720"/>
        </w:sectPr>
      </w:pPr>
    </w:p>
    <w:p>
      <w:pPr>
        <w:spacing w:before="79"/>
        <w:ind w:left="332"/>
        <w:rPr>
          <w:b/>
          <w:sz w:val="20"/>
        </w:rPr>
      </w:pPr>
      <w:r>
        <w:rPr>
          <w:b/>
          <w:sz w:val="20"/>
        </w:rPr>
        <w:lastRenderedPageBreak/>
        <w:t>2</w:t>
      </w:r>
      <w:proofErr w:type="spellStart"/>
      <w:r>
        <w:rPr>
          <w:b/>
          <w:position w:val="7"/>
          <w:sz w:val="12"/>
        </w:rPr>
        <w:t>ème</w:t>
      </w:r>
      <w:proofErr w:type="spellEnd"/>
      <w:r>
        <w:rPr>
          <w:b/>
          <w:spacing w:val="18"/>
          <w:position w:val="7"/>
          <w:sz w:val="12"/>
        </w:rPr>
        <w:t xml:space="preserve"> </w:t>
      </w:r>
      <w:r>
        <w:rPr>
          <w:b/>
          <w:spacing w:val="-2"/>
          <w:sz w:val="20"/>
        </w:rPr>
        <w:t>hypothèse</w:t>
      </w:r>
    </w:p>
    <w:p>
      <w:pPr>
        <w:pStyle w:val="Corpsdetexte"/>
        <w:spacing w:before="3"/>
        <w:rPr>
          <w:b/>
          <w:sz w:val="8"/>
        </w:rPr>
      </w:pPr>
      <w:r>
        <w:rPr>
          <w:noProof/>
        </w:rPr>
        <mc:AlternateContent>
          <mc:Choice Requires="wps">
            <w:drawing>
              <wp:anchor distT="0" distB="0" distL="0" distR="0" simplePos="0" relativeHeight="487598080" behindDoc="1" locked="0" layoutInCell="1" allowOverlap="1">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pPr>
        <w:pStyle w:val="Corpsdetexte"/>
        <w:spacing w:before="119"/>
        <w:ind w:left="-21"/>
      </w:pPr>
      <w:r>
        <w:rPr>
          <w:noProof/>
        </w:rPr>
        <mc:AlternateContent>
          <mc:Choice Requires="wps">
            <w:drawing>
              <wp:anchor distT="0" distB="0" distL="0" distR="0" simplePos="0" relativeHeight="15739392" behindDoc="0" locked="0" layoutInCell="1" allowOverlap="1">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proofErr w:type="gramStart"/>
      <w:r>
        <w:t>le</w:t>
      </w:r>
      <w:proofErr w:type="gramEnd"/>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pPr>
        <w:sectPr>
          <w:pgSz w:w="11910" w:h="16850"/>
          <w:pgMar w:top="1520" w:right="140" w:bottom="1220" w:left="520" w:header="0" w:footer="1036" w:gutter="0"/>
          <w:cols w:num="2" w:space="720" w:equalWidth="0">
            <w:col w:w="1777" w:space="40"/>
            <w:col w:w="9433"/>
          </w:cols>
        </w:sectPr>
      </w:pPr>
    </w:p>
    <w:p>
      <w:pPr>
        <w:pStyle w:val="Corpsdetexte"/>
        <w:spacing w:before="1"/>
        <w:ind w:left="1464" w:right="580"/>
      </w:pPr>
      <w:r>
        <w:t>prévus</w:t>
      </w:r>
      <w:r>
        <w:rPr>
          <w:spacing w:val="21"/>
        </w:rPr>
        <w:t xml:space="preserve"> </w:t>
      </w:r>
      <w:r>
        <w:t>à</w:t>
      </w:r>
      <w:r>
        <w:rPr>
          <w:spacing w:val="23"/>
        </w:rPr>
        <w:t xml:space="preserve"> </w:t>
      </w:r>
      <w:r>
        <w:t>l'</w:t>
      </w:r>
      <w:hyperlink r:id="rId50">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1">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pPr>
        <w:pStyle w:val="Corpsdetexte"/>
        <w:spacing w:line="277" w:lineRule="exact"/>
        <w:ind w:left="898"/>
      </w:pPr>
      <w:proofErr w:type="gramStart"/>
      <w:r>
        <w:rPr>
          <w:spacing w:val="-5"/>
          <w:u w:val="single"/>
        </w:rPr>
        <w:t>OU</w:t>
      </w:r>
      <w:proofErr w:type="gramEnd"/>
    </w:p>
    <w:p>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proofErr w:type="gramStart"/>
      <w:r>
        <w:t>l’exemplaire</w:t>
      </w:r>
      <w:proofErr w:type="gramEnd"/>
      <w:r>
        <w:t xml:space="preserve"> unique ou le certificat de cessibilité ayant été remis en vue d'une cession ou d'un nantissement de créances et ne pouvant être restitué, le titulaire justifie :</w:t>
      </w:r>
    </w:p>
    <w:p>
      <w:pPr>
        <w:pStyle w:val="Paragraphedeliste"/>
        <w:numPr>
          <w:ilvl w:val="0"/>
          <w:numId w:val="1"/>
        </w:numPr>
        <w:tabs>
          <w:tab w:val="left" w:pos="1822"/>
          <w:tab w:val="left" w:pos="1824"/>
        </w:tabs>
        <w:spacing w:before="119"/>
        <w:ind w:right="707" w:hanging="361"/>
        <w:jc w:val="both"/>
        <w:rPr>
          <w:sz w:val="20"/>
        </w:rPr>
      </w:pPr>
      <w:proofErr w:type="gramStart"/>
      <w:r>
        <w:rPr>
          <w:sz w:val="20"/>
        </w:rPr>
        <w:t>soit</w:t>
      </w:r>
      <w:proofErr w:type="gramEnd"/>
      <w:r>
        <w:rPr>
          <w:sz w:val="20"/>
        </w:rPr>
        <w:t xml:space="preserve"> que la cession ou le nantissement de créances concernant le marché public ne fait pas obstacle au paiement direct de la partie sous-traitée,</w:t>
      </w:r>
    </w:p>
    <w:p>
      <w:pPr>
        <w:pStyle w:val="Paragraphedeliste"/>
        <w:numPr>
          <w:ilvl w:val="0"/>
          <w:numId w:val="1"/>
        </w:numPr>
        <w:tabs>
          <w:tab w:val="left" w:pos="1823"/>
        </w:tabs>
        <w:spacing w:before="120"/>
        <w:ind w:left="1823" w:hanging="359"/>
        <w:jc w:val="both"/>
        <w:rPr>
          <w:sz w:val="20"/>
        </w:rPr>
      </w:pPr>
      <w:proofErr w:type="gramStart"/>
      <w:r>
        <w:rPr>
          <w:sz w:val="20"/>
        </w:rPr>
        <w:t>soit</w:t>
      </w:r>
      <w:proofErr w:type="gramEnd"/>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pPr>
        <w:pStyle w:val="Corpsdetexte"/>
      </w:pPr>
    </w:p>
    <w:p>
      <w:pPr>
        <w:pStyle w:val="Corpsdetexte"/>
        <w:spacing w:before="4"/>
        <w:rPr>
          <w:sz w:val="21"/>
        </w:rPr>
      </w:pPr>
    </w:p>
    <w:p>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pPr>
        <w:pStyle w:val="Corpsdetexte"/>
        <w:spacing w:before="13"/>
        <w:rPr>
          <w:i/>
          <w:sz w:val="19"/>
        </w:rPr>
      </w:pPr>
    </w:p>
    <w:p>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trPr>
          <w:trHeight w:val="525"/>
        </w:trPr>
        <w:tc>
          <w:tcPr>
            <w:tcW w:w="4239" w:type="dxa"/>
          </w:tcPr>
          <w:p>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pPr>
              <w:pStyle w:val="TableParagraph"/>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pPr>
              <w:pStyle w:val="TableParagraph"/>
              <w:ind w:left="808"/>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pPr>
        <w:pStyle w:val="Corpsdetexte"/>
        <w:rPr>
          <w:sz w:val="28"/>
        </w:rPr>
      </w:pPr>
    </w:p>
    <w:p>
      <w:pPr>
        <w:pStyle w:val="Corpsdetexte"/>
        <w:rPr>
          <w:sz w:val="28"/>
        </w:rPr>
      </w:pPr>
    </w:p>
    <w:p>
      <w:pPr>
        <w:pStyle w:val="Corpsdetexte"/>
        <w:rPr>
          <w:sz w:val="28"/>
        </w:rPr>
      </w:pPr>
    </w:p>
    <w:p>
      <w:pPr>
        <w:pStyle w:val="Corpsdetexte"/>
        <w:spacing w:before="195"/>
        <w:ind w:left="332" w:right="709"/>
        <w:jc w:val="both"/>
      </w:pPr>
      <w:r>
        <w:t>Le représentant de l’acheteur, compétent pour signer le marché public, accepte le sous-traitant et agrée ses conditions de paiement.</w:t>
      </w:r>
    </w:p>
    <w:p>
      <w:pPr>
        <w:pStyle w:val="Corpsdetexte"/>
        <w:spacing w:before="13"/>
        <w:rPr>
          <w:sz w:val="19"/>
        </w:rPr>
      </w:pPr>
    </w:p>
    <w:p>
      <w:pPr>
        <w:pStyle w:val="Corpsdetexte"/>
        <w:tabs>
          <w:tab w:val="left" w:pos="2599"/>
        </w:tabs>
        <w:ind w:left="1039"/>
      </w:pPr>
      <w:r>
        <w:rPr>
          <w:spacing w:val="-10"/>
        </w:rPr>
        <w:t>A</w:t>
      </w:r>
      <w:r>
        <w:tab/>
        <w:t>,</w:t>
      </w:r>
      <w:r>
        <w:rPr>
          <w:spacing w:val="-4"/>
        </w:rPr>
        <w:t xml:space="preserve"> </w:t>
      </w:r>
      <w:r>
        <w:rPr>
          <w:spacing w:val="-5"/>
        </w:rPr>
        <w:t>le</w:t>
      </w:r>
    </w:p>
    <w:p>
      <w:pPr>
        <w:pStyle w:val="Corpsdetexte"/>
        <w:spacing w:before="13"/>
        <w:rPr>
          <w:sz w:val="19"/>
        </w:rPr>
      </w:pPr>
    </w:p>
    <w:p>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pPr>
        <w:sectPr>
          <w:type w:val="continuous"/>
          <w:pgSz w:w="11910" w:h="16850"/>
          <w:pgMar w:top="380" w:right="140" w:bottom="860" w:left="520" w:header="0" w:footer="1036" w:gutter="0"/>
          <w:cols w:space="720"/>
        </w:sectPr>
      </w:pPr>
    </w:p>
    <w:p>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pPr>
        <w:pStyle w:val="Corpsdetexte"/>
        <w:spacing w:before="2"/>
        <w:rPr>
          <w:i/>
          <w:sz w:val="13"/>
        </w:rPr>
      </w:pPr>
      <w:r>
        <w:rPr>
          <w:noProof/>
        </w:rPr>
        <mc:AlternateContent>
          <mc:Choice Requires="wpg">
            <w:drawing>
              <wp:anchor distT="0" distB="0" distL="0" distR="0" simplePos="0" relativeHeight="487599616" behindDoc="1" locked="0" layoutInCell="1" allowOverlap="1">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pPr>
        <w:pStyle w:val="Corpsdetexte"/>
        <w:rPr>
          <w:i/>
          <w:sz w:val="24"/>
        </w:rPr>
      </w:pPr>
    </w:p>
    <w:p>
      <w:pPr>
        <w:pStyle w:val="Corpsdetexte"/>
        <w:rPr>
          <w:i/>
          <w:sz w:val="23"/>
        </w:rPr>
      </w:pPr>
    </w:p>
    <w:p>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Medium">
    <w:altName w:val="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spacing w:line="14" w:lineRule="auto"/>
    </w:pPr>
    <w:r>
      <w:rPr>
        <w:noProof/>
      </w:rPr>
      <mc:AlternateContent>
        <mc:Choice Requires="wps">
          <w:drawing>
            <wp:anchor distT="0" distB="0" distL="0" distR="0" simplePos="0" relativeHeight="487348224" behindDoc="1" locked="0" layoutInCell="1" allowOverlap="1">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spacing w:line="14" w:lineRule="auto"/>
    </w:pPr>
    <w:r>
      <w:rPr>
        <w:noProof/>
      </w:rPr>
      <mc:AlternateContent>
        <mc:Choice Requires="wps">
          <w:drawing>
            <wp:anchor distT="0" distB="0" distL="0" distR="0" simplePos="0" relativeHeight="487348736" behindDoc="1" locked="0" layoutInCell="1" allowOverlap="1">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" filled="f" stroked="f">
              <v:textbox inset="0,0,0,0">
                <w:txbxContent>
                  <w:p>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" filled="f" stroked="f">
              <v:textbox inset="0,0,0,0">
                <w:txbxContent>
                  <w:p>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9" Type="http://schemas.openxmlformats.org/officeDocument/2006/relationships/hyperlink" Target="https://www.legifrance.gouv.fr/affichCode.do?idSectionTA=LEGISCTA000037703603&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2"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7"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eur-lex.europa.eu/LexUriServ/LexUriServ.do?uri=OJ%3AL%3A2003%3A124%3A0036%3A0041%3Afr%3APDF" TargetMode="External"/><Relationship Id="rId32" Type="http://schemas.openxmlformats.org/officeDocument/2006/relationships/hyperlink" Target="http://legifrance.gouv.fr/affichCodeArticle.do?idArticle=LEGIARTI000028418301&amp;cidTexte=LEGITEXT000006069577" TargetMode="External"/><Relationship Id="rId37"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0"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45"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cnil.fr/fr/reglement-europeen-protection-donnees/chapitre4"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30" Type="http://schemas.openxmlformats.org/officeDocument/2006/relationships/hyperlink" Target="https://www.cnil.fr/fr/reglement-europeen-protection-donnees/chapitre4" TargetMode="External"/><Relationship Id="rId35"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hyperlink" Target="http://eur-lex.europa.eu/LexUriServ/LexUriServ.do?uri=OJ%3AL%3A2003%3A124%3A0036%3A0041%3Afr%3APDF" TargetMode="External"/><Relationship Id="rId33" Type="http://schemas.openxmlformats.org/officeDocument/2006/relationships/hyperlink" Target="http://legifrance.gouv.fr/affichCodeArticle.do?idArticle=LEGIARTI000028418301&amp;cidTexte=LEGITEXT000006069577" TargetMode="External"/><Relationship Id="rId38" Type="http://schemas.openxmlformats.org/officeDocument/2006/relationships/hyperlink" Target="https://www.legifrance.gouv.fr/affichCode.do?idSectionTA=LEGISCTA000037703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idSectionTA=LEGISCTA000037703603&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footer" Target="footer2.xml"/><Relationship Id="rId28"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6"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9"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3625</Words>
  <Characters>19942</Characters>
  <Application>Microsoft Office Word</Application>
  <DocSecurity>0</DocSecurity>
  <Lines>166</Lines>
  <Paragraphs>47</Paragraphs>
  <ScaleCrop>false</ScaleCrop>
  <Company>Ministère de l'Economie</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CHESNAIS Laurence</cp:lastModifiedBy>
  <cp:revision>3</cp:revision>
  <dcterms:created xsi:type="dcterms:W3CDTF">2023-11-28T10:43:00Z</dcterms:created>
  <dcterms:modified xsi:type="dcterms:W3CDTF">2024-12-30T10:11:00Z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